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7A" w:rsidRDefault="00CC337A" w:rsidP="00CC337A">
      <w:pPr>
        <w:jc w:val="center"/>
      </w:pPr>
    </w:p>
    <w:p w:rsidR="00CC337A" w:rsidRDefault="00CC337A" w:rsidP="00CC337A">
      <w:pPr>
        <w:jc w:val="center"/>
      </w:pPr>
    </w:p>
    <w:p w:rsidR="00CC337A" w:rsidRPr="00351DBD" w:rsidRDefault="00CC337A" w:rsidP="00CC337A">
      <w:pPr>
        <w:tabs>
          <w:tab w:val="left" w:pos="0"/>
        </w:tabs>
        <w:spacing w:after="0" w:line="360" w:lineRule="auto"/>
        <w:rPr>
          <w:rFonts w:ascii="Times New Roman" w:eastAsia="Calibri" w:hAnsi="Times New Roman" w:cs="Times New Roman"/>
          <w:sz w:val="24"/>
          <w:szCs w:val="24"/>
          <w:lang w:val="uk-UA"/>
        </w:rPr>
      </w:pPr>
      <w:r w:rsidRPr="00CC337A">
        <w:rPr>
          <w:rFonts w:ascii="Times New Roman" w:eastAsia="Calibri" w:hAnsi="Times New Roman" w:cs="Times New Roman"/>
          <w:i/>
          <w:sz w:val="24"/>
          <w:szCs w:val="24"/>
          <w:lang w:val="ru-RU"/>
        </w:rPr>
        <w:t xml:space="preserve">                                                                  </w:t>
      </w:r>
    </w:p>
    <w:p w:rsidR="00CC337A" w:rsidRPr="00CC337A" w:rsidRDefault="00CC337A" w:rsidP="00CC337A">
      <w:pPr>
        <w:autoSpaceDE w:val="0"/>
        <w:autoSpaceDN w:val="0"/>
        <w:adjustRightInd w:val="0"/>
        <w:spacing w:line="360" w:lineRule="auto"/>
        <w:jc w:val="center"/>
        <w:rPr>
          <w:rFonts w:ascii="Times New Roman" w:eastAsia="Calibri" w:hAnsi="Times New Roman" w:cs="Times New Roman"/>
          <w:i/>
          <w:sz w:val="48"/>
          <w:szCs w:val="48"/>
          <w:lang w:val="ru-RU"/>
        </w:rPr>
      </w:pPr>
      <w:r w:rsidRPr="00CC337A">
        <w:rPr>
          <w:rFonts w:ascii="Times New Roman" w:eastAsia="Calibri" w:hAnsi="Times New Roman" w:cs="Times New Roman"/>
          <w:i/>
          <w:sz w:val="48"/>
          <w:szCs w:val="48"/>
          <w:lang w:val="ru-RU"/>
        </w:rPr>
        <w:t xml:space="preserve">                                     </w:t>
      </w:r>
    </w:p>
    <w:p w:rsidR="00CC337A" w:rsidRPr="0076735A" w:rsidRDefault="00CC337A" w:rsidP="00CC337A">
      <w:pPr>
        <w:spacing w:after="0"/>
        <w:contextualSpacing/>
        <w:jc w:val="center"/>
        <w:rPr>
          <w:rFonts w:ascii="Times New Roman" w:eastAsia="Calibri" w:hAnsi="Times New Roman" w:cs="Times New Roman"/>
          <w:i/>
          <w:sz w:val="48"/>
          <w:szCs w:val="48"/>
          <w:lang w:val="ru-RU"/>
        </w:rPr>
      </w:pPr>
      <w:r w:rsidRPr="00CC337A">
        <w:rPr>
          <w:rFonts w:ascii="Times New Roman" w:eastAsia="Calibri" w:hAnsi="Times New Roman" w:cs="Times New Roman"/>
          <w:i/>
          <w:sz w:val="48"/>
          <w:szCs w:val="48"/>
          <w:lang w:val="ru-RU"/>
        </w:rPr>
        <w:t>Maksym Potapenko</w:t>
      </w:r>
      <w:r w:rsidRPr="0076735A">
        <w:rPr>
          <w:rFonts w:ascii="Times New Roman" w:eastAsia="Calibri" w:hAnsi="Times New Roman" w:cs="Times New Roman"/>
          <w:i/>
          <w:sz w:val="48"/>
          <w:szCs w:val="48"/>
          <w:lang w:val="ru-RU"/>
        </w:rPr>
        <w:t xml:space="preserve"> </w:t>
      </w:r>
    </w:p>
    <w:p w:rsidR="00CC337A" w:rsidRPr="0076735A" w:rsidRDefault="00CC337A" w:rsidP="00CC337A">
      <w:pPr>
        <w:autoSpaceDE w:val="0"/>
        <w:autoSpaceDN w:val="0"/>
        <w:adjustRightInd w:val="0"/>
        <w:spacing w:line="360" w:lineRule="auto"/>
        <w:jc w:val="both"/>
        <w:rPr>
          <w:rFonts w:ascii="Times New Roman" w:hAnsi="Times New Roman"/>
          <w:b/>
          <w:sz w:val="24"/>
          <w:szCs w:val="24"/>
          <w:lang w:val="ru-RU"/>
        </w:rPr>
      </w:pPr>
    </w:p>
    <w:p w:rsidR="00CC337A" w:rsidRPr="0076735A" w:rsidRDefault="00CC337A" w:rsidP="00CC337A">
      <w:pPr>
        <w:spacing w:line="360" w:lineRule="auto"/>
        <w:jc w:val="both"/>
        <w:rPr>
          <w:rFonts w:ascii="Times New Roman" w:hAnsi="Times New Roman"/>
          <w:sz w:val="24"/>
          <w:szCs w:val="24"/>
          <w:lang w:val="ru-RU"/>
        </w:rPr>
      </w:pPr>
    </w:p>
    <w:p w:rsidR="00CC337A" w:rsidRPr="00CC337A" w:rsidRDefault="00CC337A" w:rsidP="00CC337A">
      <w:pPr>
        <w:jc w:val="center"/>
        <w:rPr>
          <w:rFonts w:ascii="Times New Roman" w:eastAsia="Calibri" w:hAnsi="Times New Roman" w:cs="Times New Roman"/>
          <w:b/>
          <w:bCs/>
          <w:sz w:val="48"/>
          <w:szCs w:val="48"/>
          <w:lang w:val="ru-RU"/>
        </w:rPr>
      </w:pPr>
      <w:r w:rsidRPr="00CC337A">
        <w:rPr>
          <w:rFonts w:ascii="Times New Roman" w:eastAsia="Calibri" w:hAnsi="Times New Roman" w:cs="Times New Roman"/>
          <w:b/>
          <w:bCs/>
          <w:sz w:val="48"/>
          <w:szCs w:val="48"/>
          <w:lang w:val="ru-RU"/>
        </w:rPr>
        <w:t>ПОЛЯКИ ЧЕРНІГІВСЬКОЇ ГУБЕРНІЇ В РОКИ ПЕРШОЇ СВІТОВОЇ ВІЙНИ</w:t>
      </w:r>
    </w:p>
    <w:p w:rsidR="00CC337A" w:rsidRPr="00A85ADA" w:rsidRDefault="00CC337A" w:rsidP="00CC337A">
      <w:pPr>
        <w:jc w:val="center"/>
        <w:rPr>
          <w:rFonts w:ascii="Times New Roman" w:hAnsi="Times New Roman" w:cs="Times New Roman"/>
          <w:b/>
          <w:sz w:val="20"/>
          <w:szCs w:val="20"/>
          <w:lang w:val="uk-UA"/>
        </w:rPr>
      </w:pPr>
      <w:r w:rsidRPr="00CC337A">
        <w:rPr>
          <w:rFonts w:ascii="Times New Roman" w:eastAsia="Calibri" w:hAnsi="Times New Roman" w:cs="Times New Roman"/>
          <w:b/>
          <w:bCs/>
          <w:sz w:val="48"/>
          <w:szCs w:val="48"/>
          <w:lang w:val="ru-RU"/>
        </w:rPr>
        <w:t xml:space="preserve"> (1914-1918 РР.)</w:t>
      </w:r>
    </w:p>
    <w:p w:rsidR="00CC337A" w:rsidRPr="00CC337A" w:rsidRDefault="00CC337A" w:rsidP="00CC337A">
      <w:pPr>
        <w:jc w:val="center"/>
        <w:rPr>
          <w:rFonts w:ascii="Times New Roman" w:hAnsi="Times New Roman" w:cs="Times New Roman"/>
          <w:b/>
          <w:sz w:val="20"/>
          <w:szCs w:val="20"/>
          <w:lang w:val="ru-RU"/>
        </w:rPr>
      </w:pPr>
    </w:p>
    <w:p w:rsidR="00CC337A" w:rsidRPr="0076735A" w:rsidRDefault="00CC337A" w:rsidP="00CC337A">
      <w:pPr>
        <w:jc w:val="center"/>
        <w:rPr>
          <w:rFonts w:ascii="Times New Roman" w:eastAsia="Calibri" w:hAnsi="Times New Roman" w:cs="Times New Roman"/>
          <w:b/>
          <w:sz w:val="48"/>
          <w:szCs w:val="48"/>
          <w:lang w:val="ru-RU"/>
        </w:rPr>
      </w:pPr>
      <w:r w:rsidRPr="0076735A">
        <w:rPr>
          <w:rFonts w:ascii="Times New Roman" w:hAnsi="Times New Roman" w:cs="Times New Roman"/>
          <w:b/>
          <w:sz w:val="20"/>
          <w:szCs w:val="20"/>
          <w:lang w:val="ru-RU"/>
        </w:rPr>
        <w:t xml:space="preserve"> </w:t>
      </w:r>
      <w:bookmarkStart w:id="0" w:name="_GoBack"/>
      <w:bookmarkEnd w:id="0"/>
    </w:p>
    <w:p w:rsidR="00CC337A" w:rsidRPr="0076735A" w:rsidRDefault="00CC337A" w:rsidP="00CC337A">
      <w:pPr>
        <w:spacing w:after="0" w:line="100" w:lineRule="atLeast"/>
        <w:jc w:val="both"/>
        <w:rPr>
          <w:rFonts w:ascii="Times New Roman" w:hAnsi="Times New Roman" w:cs="Times New Roman"/>
          <w:b/>
          <w:sz w:val="32"/>
          <w:szCs w:val="32"/>
          <w:lang w:val="ru-RU"/>
        </w:rPr>
      </w:pPr>
    </w:p>
    <w:p w:rsidR="00CC337A" w:rsidRPr="0076735A" w:rsidRDefault="00CC337A" w:rsidP="00CC337A">
      <w:pPr>
        <w:spacing w:after="0" w:line="100" w:lineRule="atLeast"/>
        <w:jc w:val="center"/>
        <w:rPr>
          <w:rFonts w:ascii="Times New Roman" w:hAnsi="Times New Roman" w:cs="Times New Roman"/>
          <w:b/>
          <w:sz w:val="32"/>
          <w:szCs w:val="32"/>
          <w:lang w:val="ru-RU"/>
        </w:rPr>
      </w:pPr>
    </w:p>
    <w:p w:rsidR="00CC337A" w:rsidRPr="0076735A" w:rsidRDefault="00CC337A" w:rsidP="00CC337A">
      <w:pPr>
        <w:spacing w:after="0" w:line="100" w:lineRule="atLeast"/>
        <w:jc w:val="both"/>
        <w:rPr>
          <w:rFonts w:ascii="Times New Roman" w:hAnsi="Times New Roman" w:cs="Times New Roman"/>
          <w:b/>
          <w:sz w:val="20"/>
          <w:szCs w:val="20"/>
          <w:lang w:val="ru-RU"/>
        </w:rPr>
      </w:pPr>
    </w:p>
    <w:p w:rsidR="00CC337A" w:rsidRPr="0076735A" w:rsidRDefault="00CC337A" w:rsidP="00CC337A">
      <w:pPr>
        <w:jc w:val="center"/>
        <w:rPr>
          <w:rFonts w:ascii="Times New Roman" w:eastAsia="Calibri" w:hAnsi="Times New Roman" w:cs="Times New Roman"/>
          <w:b/>
          <w:sz w:val="48"/>
          <w:szCs w:val="48"/>
          <w:lang w:val="ru-RU"/>
        </w:rPr>
      </w:pPr>
    </w:p>
    <w:p w:rsidR="00CC337A" w:rsidRPr="00875AE0" w:rsidRDefault="00CC337A" w:rsidP="00CC337A">
      <w:pPr>
        <w:spacing w:line="360" w:lineRule="auto"/>
        <w:ind w:firstLine="709"/>
        <w:jc w:val="both"/>
        <w:rPr>
          <w:lang w:val="uk-UA"/>
        </w:rPr>
      </w:pPr>
      <w:r w:rsidRPr="0076735A">
        <w:rPr>
          <w:rFonts w:ascii="TimesNewRomanPS-ItalicMT" w:hAnsi="TimesNewRomanPS-ItalicMT" w:cs="TimesNewRomanPS-ItalicMT"/>
          <w:i/>
          <w:iCs/>
          <w:sz w:val="24"/>
          <w:szCs w:val="24"/>
          <w:lang w:val="ru-RU"/>
        </w:rPr>
        <w:br w:type="page"/>
      </w:r>
      <w:r w:rsidRPr="00FC26BA">
        <w:rPr>
          <w:lang w:val="uk-UA"/>
        </w:rPr>
        <w:lastRenderedPageBreak/>
        <w:t xml:space="preserve"> </w:t>
      </w:r>
      <w:r w:rsidRPr="00875AE0">
        <w:rPr>
          <w:lang w:val="uk-UA"/>
        </w:rPr>
        <w:t>Польська спільнота на території сучасної Чернігівщини почала формуватись ще у І половині Х</w:t>
      </w:r>
      <w:r w:rsidRPr="00875AE0">
        <w:rPr>
          <w:lang w:val="en-US"/>
        </w:rPr>
        <w:t>VII</w:t>
      </w:r>
      <w:r w:rsidRPr="00875AE0">
        <w:rPr>
          <w:lang w:val="uk-UA"/>
        </w:rPr>
        <w:t xml:space="preserve"> ст., коли землі Чернігово-Сіверщини увійшли на нетривалий час до складу Речі Посполитої. Поляки стали органічною і невід’ємною складовою етнонаціональної палітри регіону, вони долучались до процесу формування місцевої еліти, справили значний вплив на його соціально-економічний та культурно-освітній розвиток. Переломною і багато в чому доленосною віхою для них стала Перша світова війна. </w:t>
      </w:r>
    </w:p>
    <w:p w:rsidR="00CC337A" w:rsidRPr="00875AE0" w:rsidRDefault="00CC337A" w:rsidP="00CC337A">
      <w:pPr>
        <w:spacing w:line="360" w:lineRule="auto"/>
        <w:ind w:firstLine="709"/>
        <w:jc w:val="both"/>
        <w:rPr>
          <w:b/>
          <w:i/>
          <w:lang w:val="uk-UA"/>
        </w:rPr>
      </w:pPr>
      <w:r w:rsidRPr="00875AE0">
        <w:rPr>
          <w:b/>
          <w:i/>
          <w:lang w:val="uk-UA"/>
        </w:rPr>
        <w:t>Стан дослідження проблеми</w:t>
      </w:r>
    </w:p>
    <w:p w:rsidR="00CC337A" w:rsidRPr="00875AE0" w:rsidRDefault="00CC337A" w:rsidP="00CC337A">
      <w:pPr>
        <w:spacing w:line="360" w:lineRule="auto"/>
        <w:ind w:firstLine="709"/>
        <w:jc w:val="both"/>
        <w:rPr>
          <w:lang w:val="uk-UA"/>
        </w:rPr>
      </w:pPr>
      <w:r w:rsidRPr="00875AE0">
        <w:rPr>
          <w:lang w:val="uk-UA"/>
        </w:rPr>
        <w:t>Вказана тема не отримала належного висвітлення ні в польській, ні в українській історичній науці. У доробку польської історіографії особливе місце посідають монографії люблінських науковців М. Коженьовського, М. Мендзіка, Д. Тарасюка та К. Латавця</w:t>
      </w:r>
      <w:r w:rsidRPr="00875AE0">
        <w:rPr>
          <w:rStyle w:val="Odwoanieprzypisudolnego"/>
          <w:lang w:val="uk-UA"/>
        </w:rPr>
        <w:footnoteReference w:id="2"/>
      </w:r>
      <w:r w:rsidRPr="00875AE0">
        <w:rPr>
          <w:lang w:val="uk-UA"/>
        </w:rPr>
        <w:t xml:space="preserve">. В ході дослідження діяльності польських рятівничих організацій на території колишньої Російської імперії, вони висвітлили кілька важливих сюжетів з історії функціонування осередків Польського товариства допомоги жертвам війни та Центрального громадянського комітету Королівства Польського на території Чернігівської губернії протягом досліджуваного періоду. </w:t>
      </w:r>
    </w:p>
    <w:p w:rsidR="00CC337A" w:rsidRPr="00875AE0" w:rsidRDefault="00CC337A" w:rsidP="00CC337A">
      <w:pPr>
        <w:spacing w:line="360" w:lineRule="auto"/>
        <w:ind w:firstLine="709"/>
        <w:jc w:val="both"/>
        <w:rPr>
          <w:lang w:val="uk-UA"/>
        </w:rPr>
      </w:pPr>
      <w:r w:rsidRPr="00875AE0">
        <w:rPr>
          <w:lang w:val="uk-UA"/>
        </w:rPr>
        <w:t>У вітчизняній історичній науці окремі аспекти теми розроблювались чернігівськими дослідниками у межах їх регіональних студій над Українською революцією 1917-1921 рр. Зокрема, В. Бойко звернув увагу на участь поляків Чернігівщини у виборах до міських дум влітку 1917 р.; Т. Демченко, О. Оніщенко та Г. Гавриліна ввели до наукового обігу низку документів з історії громадсько-політичного життя поляків на Чернігівщині у 1917 – 1918 рр., що зберігаються у фондах Державного архіву Чернігівської області</w:t>
      </w:r>
      <w:r w:rsidRPr="00875AE0">
        <w:rPr>
          <w:rStyle w:val="Odwoanieprzypisudolnego"/>
          <w:lang w:val="uk-UA"/>
        </w:rPr>
        <w:footnoteReference w:id="3"/>
      </w:r>
      <w:r w:rsidRPr="00875AE0">
        <w:rPr>
          <w:lang w:val="uk-UA"/>
        </w:rPr>
        <w:t>.</w:t>
      </w:r>
    </w:p>
    <w:p w:rsidR="00CC337A" w:rsidRPr="00875AE0" w:rsidRDefault="00CC337A" w:rsidP="00CC337A">
      <w:pPr>
        <w:spacing w:line="360" w:lineRule="auto"/>
        <w:ind w:firstLine="709"/>
        <w:jc w:val="both"/>
        <w:rPr>
          <w:lang w:val="uk-UA"/>
        </w:rPr>
      </w:pPr>
      <w:r w:rsidRPr="00875AE0">
        <w:rPr>
          <w:lang w:val="uk-UA"/>
        </w:rPr>
        <w:t>Загалом фрагментарність дослідження теми зумовлена недостатнім рівнем розробки джерельної бази, яка розпорошена по центральним та регіональним архівним установам України, Польщі, Білорусії та Росії.</w:t>
      </w:r>
    </w:p>
    <w:p w:rsidR="00CC337A" w:rsidRPr="00875AE0" w:rsidRDefault="00CC337A" w:rsidP="00CC337A">
      <w:pPr>
        <w:spacing w:line="360" w:lineRule="auto"/>
        <w:ind w:firstLine="709"/>
        <w:jc w:val="both"/>
        <w:rPr>
          <w:b/>
          <w:i/>
          <w:lang w:val="uk-UA"/>
        </w:rPr>
      </w:pPr>
      <w:r w:rsidRPr="00875AE0">
        <w:rPr>
          <w:b/>
          <w:i/>
          <w:lang w:val="uk-UA"/>
        </w:rPr>
        <w:t>Польська спільнота напередодні та в роки Першої світової війни: динаміка чисельності та соціальних змін</w:t>
      </w:r>
    </w:p>
    <w:p w:rsidR="00CC337A" w:rsidRPr="00875AE0" w:rsidRDefault="00CC337A" w:rsidP="00CC337A">
      <w:pPr>
        <w:spacing w:line="360" w:lineRule="auto"/>
        <w:ind w:firstLine="709"/>
        <w:jc w:val="both"/>
        <w:rPr>
          <w:lang w:val="uk-UA"/>
        </w:rPr>
      </w:pPr>
      <w:r w:rsidRPr="00875AE0">
        <w:rPr>
          <w:lang w:val="uk-UA"/>
        </w:rPr>
        <w:t>Джерельною підставою реконструкції чисельності поляків Чернігівщини та їх соціопрофесійного портрету напередодні Першої світової війни є матеріали загальноімперського перепису 1897 р. та відомості Всеросійського статистичного комітету на початку ХХ ст. Згідно них до 1914 р. чисельність поляків у губернії була відносно низькою і заледве перевищувала 3 тис. осіб.</w:t>
      </w:r>
      <w:r w:rsidRPr="00CC337A">
        <w:rPr>
          <w:lang w:val="ru-RU"/>
        </w:rPr>
        <w:t xml:space="preserve"> </w:t>
      </w:r>
      <w:r w:rsidRPr="00875AE0">
        <w:rPr>
          <w:lang w:val="uk-UA"/>
        </w:rPr>
        <w:t>З-поміж них найбільшою соціальною групою було дворянство (близько 45%), причому переважно малоземельне або взагалі безпомісне, що жило в більшості з державної чи приватної служби та ренти. Відчутною була й тенденція до компактного проживання. У 1897 р. найбільшими були польські спільноти Чернігова (374 чол.), Ніжина (238 чол.) та Конотопа (139 чол.). Всього ж у містах проживало близько 40% поляків губернії. Загалом їм були притаманні елітарність, компактність проживання та достатньо висока інтегрованість до місцевого соціуму (лише за приблизними обрахунками близько 10% місцевих поляків належали до православного віросповідання)</w:t>
      </w:r>
      <w:r w:rsidRPr="00875AE0">
        <w:rPr>
          <w:rStyle w:val="Odwoanieprzypisudolnego"/>
          <w:lang w:val="uk-UA"/>
        </w:rPr>
        <w:footnoteReference w:id="4"/>
      </w:r>
      <w:r w:rsidRPr="00875AE0">
        <w:rPr>
          <w:lang w:val="uk-UA"/>
        </w:rPr>
        <w:t>.</w:t>
      </w:r>
    </w:p>
    <w:p w:rsidR="00CC337A" w:rsidRPr="00875AE0" w:rsidRDefault="00CC337A" w:rsidP="00CC337A">
      <w:pPr>
        <w:spacing w:line="360" w:lineRule="auto"/>
        <w:ind w:firstLine="709"/>
        <w:jc w:val="both"/>
        <w:rPr>
          <w:lang w:val="uk-UA"/>
        </w:rPr>
      </w:pPr>
      <w:r w:rsidRPr="00875AE0">
        <w:rPr>
          <w:lang w:val="uk-UA"/>
        </w:rPr>
        <w:t>Із початком Першої світової війни на території Чернігівської губернії стрімко формується чисельна група польських біженців та примусово евакуйованих. Кількісного максимуму вона досягла на початку 1918 р. і становила майже 25 тис. осіб</w:t>
      </w:r>
      <w:r w:rsidRPr="00875AE0">
        <w:rPr>
          <w:rStyle w:val="Odwoanieprzypisudolnego"/>
          <w:lang w:val="uk-UA"/>
        </w:rPr>
        <w:footnoteReference w:id="5"/>
      </w:r>
      <w:r w:rsidRPr="00875AE0">
        <w:rPr>
          <w:lang w:val="uk-UA"/>
        </w:rPr>
        <w:t>. За соціальною приналежністю їх маса була переважно селянською, але малопрацездатною – у їх сукупності значною (до 80%) була частка дітей та людей похилого віку, жінок. З них лише близько половини отримували фінансову підтримку від держави. А це, за умови відсутності допомоги з боку заможних поляків-землевласників, як на Правобережній Україні, загострювало до крайнощів скрутне матеріальне становище.</w:t>
      </w:r>
    </w:p>
    <w:p w:rsidR="00CC337A" w:rsidRPr="00875AE0" w:rsidRDefault="00CC337A" w:rsidP="00CC337A">
      <w:pPr>
        <w:spacing w:line="360" w:lineRule="auto"/>
        <w:ind w:firstLine="709"/>
        <w:jc w:val="both"/>
        <w:rPr>
          <w:lang w:val="uk-UA"/>
        </w:rPr>
      </w:pPr>
      <w:r w:rsidRPr="00875AE0">
        <w:rPr>
          <w:lang w:val="uk-UA"/>
        </w:rPr>
        <w:t>Окрім біженців та евакуйованих на території Чернігівської губернії виникає ще дві тимчасові групі польського населення. Найперше йдеться про поляків-військовослужбовців російської армії, які дислокувались на території губернії або перебували на лікуванні у численних місцевих госпіталях. Значна їх частина буда мобілізована із губерній Королівства Польського, окупованих з 1915 р. німецькими та австрійськими військами. Другою групою були військовополонені поляки з австрійської армії. Вони доволі активно використовувались в якості дешевої робочої сили, зважаючи на відносну близькість їх найбільшого місця скупчення – Дарницького табору. Починаючи з травня 1918 р. розгортається активний процес виїзду поляків, що постійно або тимчасово проживали на території Чернігівської губернії, до Польщі. Його пік припадав на жовтень – листопад 1918 р.</w:t>
      </w:r>
    </w:p>
    <w:p w:rsidR="00CC337A" w:rsidRPr="00875AE0" w:rsidRDefault="00CC337A" w:rsidP="00CC337A">
      <w:pPr>
        <w:spacing w:line="360" w:lineRule="auto"/>
        <w:ind w:firstLine="709"/>
        <w:jc w:val="both"/>
        <w:rPr>
          <w:b/>
          <w:i/>
          <w:lang w:val="uk-UA"/>
        </w:rPr>
      </w:pPr>
      <w:r w:rsidRPr="00875AE0">
        <w:rPr>
          <w:b/>
          <w:i/>
          <w:lang w:val="uk-UA"/>
        </w:rPr>
        <w:t>Особливості формування та діяльності польських організацій</w:t>
      </w:r>
    </w:p>
    <w:p w:rsidR="00CC337A" w:rsidRPr="00875AE0" w:rsidRDefault="00CC337A" w:rsidP="00CC337A">
      <w:pPr>
        <w:spacing w:line="360" w:lineRule="auto"/>
        <w:ind w:firstLine="709"/>
        <w:jc w:val="both"/>
        <w:rPr>
          <w:lang w:val="uk-UA"/>
        </w:rPr>
      </w:pPr>
      <w:r w:rsidRPr="00875AE0">
        <w:rPr>
          <w:lang w:val="uk-UA"/>
        </w:rPr>
        <w:t>Контакти поляків з України, Королівства Польського та Галичини сприяли піднесенню національних почуттів, які визначали характер та особливості їх громадсько-політичного життя. Його базовою і фактично єдиною ланкою до 1914 р. був римсько-католицький костьол. Ініціатива створення світських організацій через нечисленність та соціальну неоднорідність не мала успіху (наприклад, невдала спроба відкриття в Ніжині у 80-х рр. ХІХ ст. польської бібліотеки).</w:t>
      </w:r>
    </w:p>
    <w:p w:rsidR="00CC337A" w:rsidRPr="00875AE0" w:rsidRDefault="00CC337A" w:rsidP="00CC337A">
      <w:pPr>
        <w:spacing w:line="360" w:lineRule="auto"/>
        <w:ind w:firstLine="709"/>
        <w:jc w:val="both"/>
        <w:rPr>
          <w:lang w:val="uk-UA"/>
        </w:rPr>
      </w:pPr>
      <w:r w:rsidRPr="00875AE0">
        <w:rPr>
          <w:lang w:val="uk-UA"/>
        </w:rPr>
        <w:t>Притік величезної маси біженців зумовив необхідність утворення рятівничих організацій. В них знайшла вихід ініціатива різних етнічних і національних груп допомогти знедоленим одноплемінникам. Для держави вона була особливо бажаною з огляду на труднощі їх утримання. Мережа польських рятівничих організацій у межах Чернігівської губернії була представлена щонайменше 5 осередками Польського товариства допомоги жертвам війни та Центрального громадянського комітету Королівства Польського (у Чернігові, Ніжині, Конотопі, Любечу та Новозибкові)</w:t>
      </w:r>
      <w:r w:rsidRPr="00875AE0">
        <w:rPr>
          <w:rStyle w:val="Odwoanieprzypisudolnego"/>
          <w:lang w:val="uk-UA"/>
        </w:rPr>
        <w:footnoteReference w:id="6"/>
      </w:r>
      <w:r w:rsidRPr="00875AE0">
        <w:rPr>
          <w:lang w:val="uk-UA"/>
        </w:rPr>
        <w:t>. Незважаючи на гострий фінансовий та кадровий голод, їм вдалось розгорнути доволі активну й злагоджену діяльність, найперше у сфері задоволення базових соціально-економічних (надання фінансової допомоги, харчування, пошук житла) та культурно-освітніх (навчання дітей, організація дозвілля) потреб. Далеко не останню роль при цьому відігравали волонтерські ініціативи місцевої польської людності.</w:t>
      </w:r>
    </w:p>
    <w:p w:rsidR="00CC337A" w:rsidRPr="00875AE0" w:rsidRDefault="00CC337A" w:rsidP="00CC337A">
      <w:pPr>
        <w:spacing w:line="360" w:lineRule="auto"/>
        <w:ind w:firstLine="709"/>
        <w:jc w:val="both"/>
        <w:rPr>
          <w:lang w:val="uk-UA"/>
        </w:rPr>
      </w:pPr>
      <w:r w:rsidRPr="00875AE0">
        <w:rPr>
          <w:lang w:val="uk-UA"/>
        </w:rPr>
        <w:t>Повалення самодержавства на початку 1917 р. ознаменувало демократизацію громадсько-політичного життя. Поряд з рятівничими, почали виникати й інші громадські організації, що репрезентували інтереси поляків. Найбільш чисельними були соціо-професійні (губернські союзи робітників та вчителів, союз поляків-залізничиків у Чернігові, союз поляків-військовослужбовців у Ніжині) та культурно-освітні (губернський осередок «Мацєжи Польської», патронат польського скаутінгу в Чернігові) організації. Активізувалось й політичне життя. Вдало оперуючи риторикою національного єднання першість у ньому отримали національні демократи, які здійснювали контроль над діяльністю 11 місцевих польських громадсько-політичних клубів (Чернігів, Ріпки, Янівка, Городня, Новозибків, Почеп, Унєч, Новгород-Сіверський, Сновськ, Конотоп, Ніжин). Інші політичні сили мали значно слабші позиції. Зокрема, демократам та консерваторам не вдалось створити жодного осередку, й лише соціалісти спромоглись утворити гуртки в Чернігові та Городні.</w:t>
      </w:r>
    </w:p>
    <w:p w:rsidR="00CC337A" w:rsidRPr="00875AE0" w:rsidRDefault="00CC337A" w:rsidP="00CC337A">
      <w:pPr>
        <w:spacing w:line="360" w:lineRule="auto"/>
        <w:ind w:firstLine="709"/>
        <w:jc w:val="both"/>
        <w:rPr>
          <w:lang w:val="uk-UA"/>
        </w:rPr>
      </w:pPr>
      <w:r w:rsidRPr="00875AE0">
        <w:rPr>
          <w:lang w:val="uk-UA"/>
        </w:rPr>
        <w:t>Загалом співвідношення сил у середовищі польського громадсько-політичного представництва фіксував з’їзд польських організацій Чернігівської губернії (Чернігів, 7 – 10 жовтня 1917 р.). У його нарадах брали участь 68 делегатів від 24 польських організацій з щонайменше 14 населених пунктів. Найбільш чисельним було представництво від громадсько-політичних клубів (35 делегатів). В керівних органах з’їзду значним було представництво від рятівничих організацій та римсько-католицького духовенства</w:t>
      </w:r>
      <w:r w:rsidRPr="00875AE0">
        <w:rPr>
          <w:rStyle w:val="Odwoanieprzypisudolnego"/>
          <w:lang w:val="uk-UA"/>
        </w:rPr>
        <w:footnoteReference w:id="7"/>
      </w:r>
      <w:r w:rsidRPr="00875AE0">
        <w:rPr>
          <w:lang w:val="uk-UA"/>
        </w:rPr>
        <w:t>.</w:t>
      </w:r>
    </w:p>
    <w:p w:rsidR="00CC337A" w:rsidRPr="00875AE0" w:rsidRDefault="00CC337A" w:rsidP="00CC337A">
      <w:pPr>
        <w:spacing w:line="360" w:lineRule="auto"/>
        <w:ind w:firstLine="709"/>
        <w:jc w:val="both"/>
        <w:rPr>
          <w:lang w:val="uk-UA"/>
        </w:rPr>
      </w:pPr>
      <w:r w:rsidRPr="00875AE0">
        <w:rPr>
          <w:lang w:val="uk-UA"/>
        </w:rPr>
        <w:t>Активність польських громадсько-політичних організацій на території Чернігівщини стрімко занепадає наприкінці 1918 р., коли значна частина їх керівництва виїхала до Польщі.</w:t>
      </w:r>
    </w:p>
    <w:p w:rsidR="00CC337A" w:rsidRPr="00CC337A" w:rsidRDefault="00CC337A" w:rsidP="00CC337A">
      <w:pPr>
        <w:spacing w:line="360" w:lineRule="auto"/>
        <w:ind w:firstLine="709"/>
        <w:jc w:val="both"/>
        <w:rPr>
          <w:b/>
          <w:i/>
          <w:lang w:val="ru-RU"/>
        </w:rPr>
      </w:pPr>
      <w:r w:rsidRPr="00875AE0">
        <w:rPr>
          <w:b/>
          <w:i/>
          <w:lang w:val="uk-UA"/>
        </w:rPr>
        <w:t>Участь поляків в революційних змаганнях 1917 – 1918 рр.</w:t>
      </w:r>
    </w:p>
    <w:p w:rsidR="00CC337A" w:rsidRPr="00875AE0" w:rsidRDefault="00CC337A" w:rsidP="00CC337A">
      <w:pPr>
        <w:spacing w:line="360" w:lineRule="auto"/>
        <w:ind w:firstLine="709"/>
        <w:jc w:val="both"/>
        <w:rPr>
          <w:lang w:val="uk-UA"/>
        </w:rPr>
      </w:pPr>
      <w:r w:rsidRPr="00875AE0">
        <w:rPr>
          <w:lang w:val="uk-UA"/>
        </w:rPr>
        <w:t xml:space="preserve">Революційна активність поляків Чернігівщини протягом двох останніх років Першої світової війни мала два магістральні взаємопов’язані напрямки: 1) захист національних прав та 2) вибудовування відносин з місцевою революційною владою. </w:t>
      </w:r>
    </w:p>
    <w:p w:rsidR="00CC337A" w:rsidRPr="00875AE0" w:rsidRDefault="00CC337A" w:rsidP="00CC337A">
      <w:pPr>
        <w:spacing w:line="360" w:lineRule="auto"/>
        <w:ind w:firstLine="709"/>
        <w:jc w:val="both"/>
        <w:rPr>
          <w:lang w:val="uk-UA"/>
        </w:rPr>
      </w:pPr>
      <w:r w:rsidRPr="00875AE0">
        <w:rPr>
          <w:lang w:val="uk-UA"/>
        </w:rPr>
        <w:t>Питання організації польської національної автономії на території Наддніпрянської України постало одразу після повалення самодержавства. Вже 2 березня 1917 р. утворився вищий орган автономії – Польський виконавчий комітет на Русі. В його установчому з’їзді брали участь представники від Чернігова. Також вони були серед делегатів ІІІ з’їзду польських організацій на Русі (Київ, 18–24 червня 1917 р.), на якому було схвалено програму діяльності згаданого комітету – Устав польської людності на Русі. Проте, його інфраструктура на території досліджуваного регіону була утворена доволі пізно. Лише в жовтні 1917 р. повноваження губернського комісаріату були делеговані Центральному правлінню польських громадсько-політичних клубів Чернігівщини на чолі з Е. Реттінгером</w:t>
      </w:r>
      <w:r w:rsidRPr="00875AE0">
        <w:rPr>
          <w:rStyle w:val="Odwoanieprzypisudolnego"/>
          <w:lang w:val="uk-UA"/>
        </w:rPr>
        <w:footnoteReference w:id="8"/>
      </w:r>
      <w:r w:rsidRPr="00875AE0">
        <w:rPr>
          <w:lang w:val="uk-UA"/>
        </w:rPr>
        <w:t>. Через ускладнення політичної ситуації він так і не зміг розгорнути повноцінної діяльності. Так само і утворене в системі виконавчих органів влади УНР Міністерство польських справ на початку 1918 р. спромоглось лише на епізодичні контакти з польськими громадами Чернігова і Сновська</w:t>
      </w:r>
      <w:r w:rsidRPr="00875AE0">
        <w:rPr>
          <w:rStyle w:val="Odwoanieprzypisudolnego"/>
          <w:lang w:val="uk-UA"/>
        </w:rPr>
        <w:footnoteReference w:id="9"/>
      </w:r>
      <w:r w:rsidRPr="00875AE0">
        <w:rPr>
          <w:lang w:val="uk-UA"/>
        </w:rPr>
        <w:t xml:space="preserve">. </w:t>
      </w:r>
    </w:p>
    <w:p w:rsidR="00CC337A" w:rsidRPr="00875AE0" w:rsidRDefault="00CC337A" w:rsidP="00CC337A">
      <w:pPr>
        <w:spacing w:line="360" w:lineRule="auto"/>
        <w:ind w:firstLine="709"/>
        <w:jc w:val="both"/>
        <w:rPr>
          <w:lang w:val="uk-UA"/>
        </w:rPr>
      </w:pPr>
      <w:r w:rsidRPr="00875AE0">
        <w:rPr>
          <w:lang w:val="uk-UA"/>
        </w:rPr>
        <w:t>Позитивне вирішення питання захисту національних прав поляків Чернігівської губернії не в останню чергу залежало від порозуміння з місцевою революційною владою. Саме тому громадсько-політичні організації, що виступали від імені поляків Чернігівщини, особливих зусиль докладали для налагодження взаємин з Тимчасовим урядом, а потім УНР. Влітку 1917 р. вони брали активну участь в муніципальній виборчій компанії. За участю поляків були сформовані виборчі списки у Чернігові, Ніжині, Конотопі, Городні та Шостці. За результати виборів найбільшу кількість гласних поляків було обрано до міських дум Чернігова (4) та Конотопу (2)</w:t>
      </w:r>
      <w:r w:rsidRPr="00875AE0">
        <w:rPr>
          <w:rStyle w:val="Odwoanieprzypisudolnego"/>
          <w:lang w:val="uk-UA"/>
        </w:rPr>
        <w:footnoteReference w:id="10"/>
      </w:r>
      <w:r w:rsidRPr="00875AE0">
        <w:rPr>
          <w:lang w:val="uk-UA"/>
        </w:rPr>
        <w:t>. Наприкінці 1917 р. для участі у виборах до Українських установчих зборів був сформований губернський виборчий список Польського комітету виконавчого на Русі</w:t>
      </w:r>
      <w:r w:rsidRPr="00875AE0">
        <w:rPr>
          <w:rStyle w:val="Odwoanieprzypisudolnego"/>
          <w:lang w:val="uk-UA"/>
        </w:rPr>
        <w:footnoteReference w:id="11"/>
      </w:r>
      <w:r w:rsidRPr="00875AE0">
        <w:rPr>
          <w:lang w:val="uk-UA"/>
        </w:rPr>
        <w:t>.</w:t>
      </w:r>
    </w:p>
    <w:p w:rsidR="00CC337A" w:rsidRPr="00875AE0" w:rsidRDefault="00CC337A" w:rsidP="00CC337A">
      <w:pPr>
        <w:spacing w:line="360" w:lineRule="auto"/>
        <w:ind w:firstLine="709"/>
        <w:jc w:val="both"/>
        <w:rPr>
          <w:b/>
          <w:i/>
          <w:lang w:val="uk-UA"/>
        </w:rPr>
      </w:pPr>
      <w:r w:rsidRPr="00875AE0">
        <w:rPr>
          <w:b/>
          <w:i/>
          <w:lang w:val="uk-UA"/>
        </w:rPr>
        <w:t>Висновки</w:t>
      </w:r>
    </w:p>
    <w:p w:rsidR="00CC337A" w:rsidRPr="00875AE0" w:rsidRDefault="00CC337A" w:rsidP="00CC337A">
      <w:pPr>
        <w:spacing w:line="360" w:lineRule="auto"/>
        <w:ind w:firstLine="709"/>
        <w:jc w:val="both"/>
        <w:rPr>
          <w:lang w:val="uk-UA"/>
        </w:rPr>
      </w:pPr>
      <w:r w:rsidRPr="00875AE0">
        <w:rPr>
          <w:lang w:val="uk-UA"/>
        </w:rPr>
        <w:t xml:space="preserve">Воєнні та революційні потрясіння 1914 – 1918 рр. кардинальним чином вплинули на соціальний склад і чисельність поляків Чернігівської губернії, їх національне самоусвідомлення та досвід участі в громадсько-політичному житті. </w:t>
      </w:r>
    </w:p>
    <w:p w:rsidR="00CC337A" w:rsidRPr="00FC26BA" w:rsidRDefault="00CC337A" w:rsidP="00CC337A">
      <w:pPr>
        <w:pStyle w:val="a"/>
        <w:spacing w:after="0"/>
        <w:ind w:firstLine="709"/>
        <w:jc w:val="both"/>
        <w:rPr>
          <w:lang w:val="uk-UA"/>
        </w:rPr>
      </w:pPr>
    </w:p>
    <w:sectPr w:rsidR="00CC337A" w:rsidRPr="00FC26BA" w:rsidSect="00FD103F">
      <w:headerReference w:type="default" r:id="rId6"/>
      <w:footerReference w:type="default" r:id="rId7"/>
      <w:pgSz w:w="11906" w:h="16838"/>
      <w:pgMar w:top="1417" w:right="1417" w:bottom="1417" w:left="1417" w:header="708" w:footer="7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A0B" w:rsidRDefault="006B5A0B" w:rsidP="00CC337A">
      <w:pPr>
        <w:spacing w:after="0" w:line="240" w:lineRule="auto"/>
      </w:pPr>
      <w:r>
        <w:separator/>
      </w:r>
    </w:p>
  </w:endnote>
  <w:endnote w:type="continuationSeparator" w:id="1">
    <w:p w:rsidR="006B5A0B" w:rsidRDefault="006B5A0B" w:rsidP="00CC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altName w:val="Times New Roman"/>
    <w:panose1 w:val="02020603050405020304"/>
    <w:charset w:val="EE"/>
    <w:family w:val="roman"/>
    <w:pitch w:val="variable"/>
    <w:sig w:usb0="E0002AEF" w:usb1="C0007841" w:usb2="00000009" w:usb3="00000000" w:csb0="000001FF" w:csb1="00000000"/>
  </w:font>
  <w:font w:name="TimesNewRomanPS-Italic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6B5A0B" w:rsidP="00461D53">
    <w:pPr>
      <w:pStyle w:val="Stopka"/>
      <w:rPr>
        <w:rFonts w:ascii="Times New Roman" w:hAnsi="Times New Roman" w:cs="Times New Roman"/>
        <w:color w:val="000000"/>
        <w:sz w:val="23"/>
        <w:szCs w:val="23"/>
      </w:rPr>
    </w:pPr>
  </w:p>
  <w:p w:rsidR="00706D1D" w:rsidRDefault="006B5A0B" w:rsidP="00194D4E">
    <w:pPr>
      <w:pStyle w:val="Stopka"/>
      <w:tabs>
        <w:tab w:val="left" w:pos="2184"/>
      </w:tabs>
    </w:pPr>
    <w:r>
      <w:rPr>
        <w:rFonts w:ascii="Times New Roman" w:hAnsi="Times New Roman" w:cs="Times New Roman"/>
        <w:color w:val="000000"/>
        <w:sz w:val="23"/>
        <w:szCs w:val="23"/>
      </w:rPr>
      <w:tab/>
    </w:r>
  </w:p>
  <w:p w:rsidR="00FD103F" w:rsidRDefault="006B5A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A0B" w:rsidRDefault="006B5A0B" w:rsidP="00CC337A">
      <w:pPr>
        <w:spacing w:after="0" w:line="240" w:lineRule="auto"/>
      </w:pPr>
      <w:r>
        <w:separator/>
      </w:r>
    </w:p>
  </w:footnote>
  <w:footnote w:type="continuationSeparator" w:id="1">
    <w:p w:rsidR="006B5A0B" w:rsidRDefault="006B5A0B" w:rsidP="00CC337A">
      <w:pPr>
        <w:spacing w:after="0" w:line="240" w:lineRule="auto"/>
      </w:pPr>
      <w:r>
        <w:continuationSeparator/>
      </w:r>
    </w:p>
  </w:footnote>
  <w:footnote w:id="2">
    <w:p w:rsidR="00CC337A" w:rsidRPr="0061370C" w:rsidRDefault="00CC337A" w:rsidP="00CC337A">
      <w:pPr>
        <w:pStyle w:val="Tekstprzypisudolnego"/>
        <w:jc w:val="both"/>
        <w:rPr>
          <w:lang w:val="pl-PL"/>
        </w:rPr>
      </w:pPr>
      <w:r w:rsidRPr="0061370C">
        <w:rPr>
          <w:rStyle w:val="Odwoanieprzypisudolnego"/>
        </w:rPr>
        <w:footnoteRef/>
      </w:r>
      <w:r w:rsidRPr="00475684">
        <w:rPr>
          <w:lang w:val="pl-PL"/>
        </w:rPr>
        <w:t xml:space="preserve"> </w:t>
      </w:r>
      <w:r w:rsidRPr="0061370C">
        <w:rPr>
          <w:lang w:val="pl-PL"/>
        </w:rPr>
        <w:t>Korzeniowski M., Mądzik M., Tarasiuk D. Tułaczy los. Uchodźcy polscy w imperium rosyjskim w latach pierwszej wojny światowej. – Lublin</w:t>
      </w:r>
      <w:r>
        <w:rPr>
          <w:lang w:val="pl-PL"/>
        </w:rPr>
        <w:t>, 2007</w:t>
      </w:r>
      <w:r>
        <w:rPr>
          <w:lang w:val="uk-UA"/>
        </w:rPr>
        <w:t xml:space="preserve">; </w:t>
      </w:r>
      <w:r w:rsidRPr="0061370C">
        <w:rPr>
          <w:lang w:val="pl-PL"/>
        </w:rPr>
        <w:t>Mądzik M.,</w:t>
      </w:r>
      <w:r>
        <w:rPr>
          <w:lang w:val="uk-UA"/>
        </w:rPr>
        <w:t xml:space="preserve"> </w:t>
      </w:r>
      <w:r w:rsidRPr="0061370C">
        <w:rPr>
          <w:lang w:val="pl-PL"/>
        </w:rPr>
        <w:t xml:space="preserve">Korzeniowski M., </w:t>
      </w:r>
      <w:r>
        <w:rPr>
          <w:lang w:val="pl-PL"/>
        </w:rPr>
        <w:t>Latawiec K. Polacy na wschodniej Ukrainie w latach 1832 – 1921. – Lublin, 2014.</w:t>
      </w:r>
    </w:p>
  </w:footnote>
  <w:footnote w:id="3">
    <w:p w:rsidR="00CC337A" w:rsidRPr="0061370C" w:rsidRDefault="00CC337A" w:rsidP="00CC337A">
      <w:pPr>
        <w:pStyle w:val="Tekstprzypisudolnego"/>
        <w:jc w:val="both"/>
        <w:rPr>
          <w:lang w:val="uk-UA"/>
        </w:rPr>
      </w:pPr>
      <w:r>
        <w:rPr>
          <w:rStyle w:val="Odwoanieprzypisudolnego"/>
        </w:rPr>
        <w:footnoteRef/>
      </w:r>
      <w:r w:rsidRPr="00033345">
        <w:rPr>
          <w:lang w:val="pl-PL"/>
        </w:rPr>
        <w:t xml:space="preserve"> </w:t>
      </w:r>
      <w:r>
        <w:rPr>
          <w:lang w:val="uk-UA"/>
        </w:rPr>
        <w:t xml:space="preserve">Бойко В., Демченко Т., Оніщенко О. 1917 рік на Чернігівщині: історико-краєзнавчий нарис. – Чернігів, 2003; Гавриліна Г. Участь Чернігівського громадсько-політичного клубу поляків у виборах до Українських установчих зборів // Сіверянський архів. – Чернігів, 2010. – Вип. 4; Демченко Т., Оніщенко О. Українсько-польське співробітництво у роки Української революції (на прикладі Чернігова 1917 р.) // Скарбниця української культури. – Чернігів, 2005. – Вип. 5. </w:t>
      </w:r>
    </w:p>
  </w:footnote>
  <w:footnote w:id="4">
    <w:p w:rsidR="00CC337A" w:rsidRPr="00920F05" w:rsidRDefault="00CC337A" w:rsidP="00CC337A">
      <w:pPr>
        <w:pStyle w:val="Tekstprzypisudolnego"/>
        <w:jc w:val="both"/>
        <w:rPr>
          <w:lang w:val="uk-UA"/>
        </w:rPr>
      </w:pPr>
      <w:r>
        <w:rPr>
          <w:rStyle w:val="Odwoanieprzypisudolnego"/>
        </w:rPr>
        <w:footnoteRef/>
      </w:r>
      <w:r w:rsidRPr="009A50D8">
        <w:rPr>
          <w:lang w:val="uk-UA"/>
        </w:rPr>
        <w:t xml:space="preserve"> </w:t>
      </w:r>
      <w:r>
        <w:rPr>
          <w:lang w:val="uk-UA"/>
        </w:rPr>
        <w:t>Палієнко В. Місця історичного розселення польської людності в Україні в кінці ХІХ – ХХ ст. – К., 1998. – С. 23–30.</w:t>
      </w:r>
    </w:p>
  </w:footnote>
  <w:footnote w:id="5">
    <w:p w:rsidR="00CC337A" w:rsidRPr="00CC337A" w:rsidRDefault="00CC337A" w:rsidP="00CC337A">
      <w:pPr>
        <w:pStyle w:val="Tekstprzypisudolnego"/>
        <w:jc w:val="both"/>
        <w:rPr>
          <w:lang w:val="pl-PL"/>
        </w:rPr>
      </w:pPr>
      <w:r w:rsidRPr="009A50D8">
        <w:rPr>
          <w:rStyle w:val="Odwoanieprzypisudolnego"/>
        </w:rPr>
        <w:footnoteRef/>
      </w:r>
      <w:r w:rsidRPr="00CC337A">
        <w:rPr>
          <w:lang w:val="pl-PL"/>
        </w:rPr>
        <w:t xml:space="preserve"> </w:t>
      </w:r>
      <w:r w:rsidRPr="009A50D8">
        <w:rPr>
          <w:lang w:val="pl-PL"/>
        </w:rPr>
        <w:t>Najdus. W. Polacy w rewolucji 1917. – Warszawa, 1967.</w:t>
      </w:r>
      <w:r>
        <w:rPr>
          <w:lang w:val="uk-UA"/>
        </w:rPr>
        <w:t xml:space="preserve"> – </w:t>
      </w:r>
      <w:r w:rsidRPr="00CC337A">
        <w:rPr>
          <w:lang w:val="pl-PL"/>
        </w:rPr>
        <w:t>S. 52.</w:t>
      </w:r>
    </w:p>
  </w:footnote>
  <w:footnote w:id="6">
    <w:p w:rsidR="00CC337A" w:rsidRPr="00B86735" w:rsidRDefault="00CC337A" w:rsidP="00CC337A">
      <w:pPr>
        <w:pStyle w:val="Tekstprzypisudolnego"/>
        <w:jc w:val="both"/>
        <w:rPr>
          <w:lang w:val="uk-UA"/>
        </w:rPr>
      </w:pPr>
      <w:r>
        <w:rPr>
          <w:rStyle w:val="Odwoanieprzypisudolnego"/>
        </w:rPr>
        <w:footnoteRef/>
      </w:r>
      <w:r w:rsidRPr="00CC337A">
        <w:rPr>
          <w:lang w:val="pl-PL"/>
        </w:rPr>
        <w:t xml:space="preserve"> Archiwum Akt Nowych, z. 51, sygn. </w:t>
      </w:r>
      <w:r>
        <w:rPr>
          <w:lang w:val="uk-UA"/>
        </w:rPr>
        <w:t>645.</w:t>
      </w:r>
    </w:p>
  </w:footnote>
  <w:footnote w:id="7">
    <w:p w:rsidR="00CC337A" w:rsidRPr="00EA1D47" w:rsidRDefault="00CC337A" w:rsidP="00CC337A">
      <w:pPr>
        <w:pStyle w:val="Tekstprzypisudolnego"/>
        <w:jc w:val="both"/>
        <w:rPr>
          <w:lang w:val="uk-UA"/>
        </w:rPr>
      </w:pPr>
      <w:r>
        <w:rPr>
          <w:rStyle w:val="Odwoanieprzypisudolnego"/>
        </w:rPr>
        <w:footnoteRef/>
      </w:r>
      <w:r w:rsidRPr="00EA1D47">
        <w:rPr>
          <w:lang w:val="uk-UA"/>
        </w:rPr>
        <w:t xml:space="preserve"> </w:t>
      </w:r>
      <w:r>
        <w:rPr>
          <w:lang w:val="pl-PL"/>
        </w:rPr>
        <w:t>Ze zjazdu delegatów organizacji polskich z</w:t>
      </w:r>
      <w:r w:rsidRPr="00EA1D47">
        <w:rPr>
          <w:lang w:val="pl-PL"/>
        </w:rPr>
        <w:t>iemi Czernihowskiej // Dziennik</w:t>
      </w:r>
      <w:r w:rsidRPr="00EA1D47">
        <w:rPr>
          <w:lang w:val="uk-UA"/>
        </w:rPr>
        <w:t xml:space="preserve"> </w:t>
      </w:r>
      <w:r w:rsidRPr="00EA1D47">
        <w:rPr>
          <w:lang w:val="pl-PL"/>
        </w:rPr>
        <w:t>polski</w:t>
      </w:r>
      <w:r w:rsidRPr="00EA1D47">
        <w:rPr>
          <w:lang w:val="uk-UA"/>
        </w:rPr>
        <w:t xml:space="preserve">. – </w:t>
      </w:r>
      <w:r w:rsidRPr="00EA1D47">
        <w:rPr>
          <w:lang w:val="pl-PL"/>
        </w:rPr>
        <w:t xml:space="preserve">Piotrogród, </w:t>
      </w:r>
      <w:r w:rsidRPr="00EA1D47">
        <w:rPr>
          <w:lang w:val="uk-UA"/>
        </w:rPr>
        <w:t xml:space="preserve">1917. – № 257. – 9 (22) </w:t>
      </w:r>
      <w:r w:rsidRPr="00EA1D47">
        <w:rPr>
          <w:lang w:val="pl-PL"/>
        </w:rPr>
        <w:t>listopada</w:t>
      </w:r>
      <w:r w:rsidRPr="00EA1D47">
        <w:rPr>
          <w:lang w:val="uk-UA"/>
        </w:rPr>
        <w:t xml:space="preserve">. – </w:t>
      </w:r>
      <w:r w:rsidRPr="00EA1D47">
        <w:rPr>
          <w:lang w:val="pl-PL"/>
        </w:rPr>
        <w:t>S</w:t>
      </w:r>
      <w:r w:rsidRPr="00EA1D47">
        <w:rPr>
          <w:lang w:val="uk-UA"/>
        </w:rPr>
        <w:t>.</w:t>
      </w:r>
      <w:r w:rsidRPr="00EA1D47">
        <w:rPr>
          <w:lang w:val="pl-PL"/>
        </w:rPr>
        <w:t xml:space="preserve"> </w:t>
      </w:r>
      <w:r w:rsidRPr="00EA1D47">
        <w:rPr>
          <w:lang w:val="uk-UA"/>
        </w:rPr>
        <w:t>1.</w:t>
      </w:r>
    </w:p>
  </w:footnote>
  <w:footnote w:id="8">
    <w:p w:rsidR="00CC337A" w:rsidRPr="00EA1D47" w:rsidRDefault="00CC337A" w:rsidP="00CC337A">
      <w:pPr>
        <w:pStyle w:val="Tekstprzypisudolnego"/>
        <w:jc w:val="both"/>
        <w:rPr>
          <w:lang w:val="uk-UA"/>
        </w:rPr>
      </w:pPr>
      <w:r>
        <w:rPr>
          <w:rStyle w:val="Odwoanieprzypisudolnego"/>
        </w:rPr>
        <w:footnoteRef/>
      </w:r>
      <w:r w:rsidRPr="00EA1D47">
        <w:rPr>
          <w:lang w:val="uk-UA"/>
        </w:rPr>
        <w:t xml:space="preserve"> </w:t>
      </w:r>
      <w:r>
        <w:rPr>
          <w:lang w:val="pl-PL"/>
        </w:rPr>
        <w:t>Ze zjazdu delegatów organizacji polskich z</w:t>
      </w:r>
      <w:r w:rsidRPr="00EA1D47">
        <w:rPr>
          <w:lang w:val="pl-PL"/>
        </w:rPr>
        <w:t>iemi Czernihowskiej // Dziennik</w:t>
      </w:r>
      <w:r w:rsidRPr="00EA1D47">
        <w:rPr>
          <w:lang w:val="uk-UA"/>
        </w:rPr>
        <w:t xml:space="preserve"> </w:t>
      </w:r>
      <w:r w:rsidRPr="00EA1D47">
        <w:rPr>
          <w:lang w:val="pl-PL"/>
        </w:rPr>
        <w:t>polski</w:t>
      </w:r>
      <w:r w:rsidRPr="00EA1D47">
        <w:rPr>
          <w:lang w:val="uk-UA"/>
        </w:rPr>
        <w:t xml:space="preserve">. – </w:t>
      </w:r>
      <w:r w:rsidRPr="00EA1D47">
        <w:rPr>
          <w:lang w:val="pl-PL"/>
        </w:rPr>
        <w:t xml:space="preserve">Piotrogród, </w:t>
      </w:r>
      <w:r w:rsidRPr="00EA1D47">
        <w:rPr>
          <w:lang w:val="uk-UA"/>
        </w:rPr>
        <w:t xml:space="preserve">1917. – № 257. – 9 (22) </w:t>
      </w:r>
      <w:r w:rsidRPr="00EA1D47">
        <w:rPr>
          <w:lang w:val="pl-PL"/>
        </w:rPr>
        <w:t>listopada</w:t>
      </w:r>
      <w:r w:rsidRPr="00EA1D47">
        <w:rPr>
          <w:lang w:val="uk-UA"/>
        </w:rPr>
        <w:t xml:space="preserve">. – </w:t>
      </w:r>
      <w:r w:rsidRPr="00EA1D47">
        <w:rPr>
          <w:lang w:val="pl-PL"/>
        </w:rPr>
        <w:t>S</w:t>
      </w:r>
      <w:r w:rsidRPr="00EA1D47">
        <w:rPr>
          <w:lang w:val="uk-UA"/>
        </w:rPr>
        <w:t>.</w:t>
      </w:r>
      <w:r w:rsidRPr="00EA1D47">
        <w:rPr>
          <w:lang w:val="pl-PL"/>
        </w:rPr>
        <w:t xml:space="preserve"> </w:t>
      </w:r>
      <w:r w:rsidRPr="00EA1D47">
        <w:rPr>
          <w:lang w:val="uk-UA"/>
        </w:rPr>
        <w:t>1.</w:t>
      </w:r>
    </w:p>
  </w:footnote>
  <w:footnote w:id="9">
    <w:p w:rsidR="00CC337A" w:rsidRPr="00EA1D47" w:rsidRDefault="00CC337A" w:rsidP="00CC337A">
      <w:pPr>
        <w:pStyle w:val="Tekstprzypisudolnego"/>
        <w:jc w:val="both"/>
        <w:rPr>
          <w:lang w:val="uk-UA"/>
        </w:rPr>
      </w:pPr>
      <w:r w:rsidRPr="00EA1D47">
        <w:rPr>
          <w:rStyle w:val="Odwoanieprzypisudolnego"/>
        </w:rPr>
        <w:footnoteRef/>
      </w:r>
      <w:r w:rsidRPr="00EA1D47">
        <w:rPr>
          <w:lang w:val="uk-UA"/>
        </w:rPr>
        <w:t xml:space="preserve"> </w:t>
      </w:r>
      <w:r w:rsidRPr="00EA1D47">
        <w:rPr>
          <w:lang w:val="pl-PL"/>
        </w:rPr>
        <w:t>Jabłoński H. Polska autonomia narodowa na Ukrainie 1917 – 1918. – Warszawa, 1948. – S.121.</w:t>
      </w:r>
    </w:p>
  </w:footnote>
  <w:footnote w:id="10">
    <w:p w:rsidR="00CC337A" w:rsidRPr="00EA1D47" w:rsidRDefault="00CC337A" w:rsidP="00CC337A">
      <w:pPr>
        <w:pStyle w:val="Tekstprzypisudolnego"/>
        <w:jc w:val="both"/>
        <w:rPr>
          <w:lang w:val="uk-UA"/>
        </w:rPr>
      </w:pPr>
      <w:r>
        <w:rPr>
          <w:rStyle w:val="Odwoanieprzypisudolnego"/>
        </w:rPr>
        <w:footnoteRef/>
      </w:r>
      <w:r>
        <w:t xml:space="preserve"> </w:t>
      </w:r>
      <w:r>
        <w:rPr>
          <w:lang w:val="uk-UA"/>
        </w:rPr>
        <w:t>Центральний державний архів вищих органів влади та управління України, ф.1115, оп.1, спр.46, 48.</w:t>
      </w:r>
    </w:p>
  </w:footnote>
  <w:footnote w:id="11">
    <w:p w:rsidR="00CC337A" w:rsidRPr="00EA1D47" w:rsidRDefault="00CC337A" w:rsidP="00CC337A">
      <w:pPr>
        <w:pStyle w:val="Tekstprzypisudolnego"/>
        <w:jc w:val="both"/>
        <w:rPr>
          <w:lang w:val="uk-UA"/>
        </w:rPr>
      </w:pPr>
      <w:r>
        <w:rPr>
          <w:rStyle w:val="Odwoanieprzypisudolnego"/>
        </w:rPr>
        <w:footnoteRef/>
      </w:r>
      <w:r>
        <w:t xml:space="preserve"> </w:t>
      </w:r>
      <w:r>
        <w:rPr>
          <w:lang w:val="uk-UA"/>
        </w:rPr>
        <w:t>Інститут рукопису Національної бібліотеки України ім. В. Вернадського, ф. ХІІ, спр. 1024.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6B5A0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6B5A0B"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6B5A0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2015</w:t>
    </w:r>
  </w:p>
  <w:p w:rsidR="00091D80" w:rsidRDefault="006B5A0B"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6B5A0B"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6B5A0B"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6B5A0B" w:rsidP="00706D1D">
    <w:pPr>
      <w:pStyle w:val="Bezodstpw"/>
      <w:jc w:val="center"/>
      <w:rPr>
        <w:b/>
        <w:color w:val="17365D" w:themeColor="text2" w:themeShade="BF"/>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visionView w:insDel="0" w:formatting="0"/>
  <w:defaultTabStop w:val="708"/>
  <w:hyphenationZone w:val="425"/>
  <w:characterSpacingControl w:val="doNotCompress"/>
  <w:savePreviewPicture/>
  <w:footnotePr>
    <w:footnote w:id="0"/>
    <w:footnote w:id="1"/>
  </w:footnotePr>
  <w:endnotePr>
    <w:endnote w:id="0"/>
    <w:endnote w:id="1"/>
  </w:endnotePr>
  <w:compat/>
  <w:rsids>
    <w:rsidRoot w:val="00CC337A"/>
    <w:rsid w:val="00006ABB"/>
    <w:rsid w:val="0012120C"/>
    <w:rsid w:val="001328ED"/>
    <w:rsid w:val="0017500A"/>
    <w:rsid w:val="002421ED"/>
    <w:rsid w:val="00252224"/>
    <w:rsid w:val="00300854"/>
    <w:rsid w:val="00316C60"/>
    <w:rsid w:val="006B5A0B"/>
    <w:rsid w:val="006B6B77"/>
    <w:rsid w:val="0081206B"/>
    <w:rsid w:val="009177C1"/>
    <w:rsid w:val="00A55A4D"/>
    <w:rsid w:val="00C14503"/>
    <w:rsid w:val="00CC337A"/>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337A"/>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C33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337A"/>
  </w:style>
  <w:style w:type="paragraph" w:styleId="Bezodstpw">
    <w:name w:val="No Spacing"/>
    <w:uiPriority w:val="1"/>
    <w:qFormat/>
    <w:rsid w:val="00CC337A"/>
    <w:pPr>
      <w:ind w:left="0" w:firstLine="0"/>
    </w:pPr>
  </w:style>
  <w:style w:type="paragraph" w:customStyle="1" w:styleId="a">
    <w:name w:val="Базовый"/>
    <w:rsid w:val="00CC337A"/>
    <w:pPr>
      <w:tabs>
        <w:tab w:val="left" w:pos="708"/>
      </w:tabs>
      <w:suppressAutoHyphens/>
      <w:spacing w:after="200" w:line="276" w:lineRule="auto"/>
      <w:ind w:left="0" w:firstLine="0"/>
    </w:pPr>
    <w:rPr>
      <w:rFonts w:ascii="Calibri" w:eastAsia="Calibri" w:hAnsi="Calibri" w:cs="Times New Roman"/>
      <w:lang w:val="ru-RU"/>
    </w:rPr>
  </w:style>
  <w:style w:type="paragraph" w:styleId="Tekstprzypisudolnego">
    <w:name w:val="footnote text"/>
    <w:basedOn w:val="Normalny"/>
    <w:link w:val="TekstprzypisudolnegoZnak"/>
    <w:semiHidden/>
    <w:rsid w:val="00CC337A"/>
    <w:pPr>
      <w:spacing w:after="0" w:line="240" w:lineRule="auto"/>
    </w:pPr>
    <w:rPr>
      <w:rFonts w:ascii="Times New Roman" w:eastAsia="Times New Roman" w:hAnsi="Times New Roman" w:cs="Times New Roman"/>
      <w:sz w:val="20"/>
      <w:szCs w:val="20"/>
      <w:lang w:val="ru-RU" w:eastAsia="ru-RU"/>
    </w:rPr>
  </w:style>
  <w:style w:type="character" w:customStyle="1" w:styleId="TekstprzypisudolnegoZnak">
    <w:name w:val="Tekst przypisu dolnego Znak"/>
    <w:basedOn w:val="Domylnaczcionkaakapitu"/>
    <w:link w:val="Tekstprzypisudolnego"/>
    <w:semiHidden/>
    <w:rsid w:val="00CC337A"/>
    <w:rPr>
      <w:rFonts w:ascii="Times New Roman" w:eastAsia="Times New Roman" w:hAnsi="Times New Roman" w:cs="Times New Roman"/>
      <w:sz w:val="20"/>
      <w:szCs w:val="20"/>
      <w:lang w:val="ru-RU" w:eastAsia="ru-RU"/>
    </w:rPr>
  </w:style>
  <w:style w:type="character" w:styleId="Odwoanieprzypisudolnego">
    <w:name w:val="footnote reference"/>
    <w:basedOn w:val="Domylnaczcionkaakapitu"/>
    <w:semiHidden/>
    <w:rsid w:val="00CC337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8671</Characters>
  <Application>Microsoft Office Word</Application>
  <DocSecurity>0</DocSecurity>
  <Lines>72</Lines>
  <Paragraphs>20</Paragraphs>
  <ScaleCrop>false</ScaleCrop>
  <Company/>
  <LinksUpToDate>false</LinksUpToDate>
  <CharactersWithSpaces>10096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2020-06-10T13:18:00Z</dcterms:created>
  <dcterms:modified xsi:type="dcterms:W3CDTF">2020-06-10T13:20:00Z</dcterms:modified>
</cp:coreProperties>
</file>